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123F4F" w:rsidRDefault="00123F4F">
      <w:pPr>
        <w:spacing w:after="0" w:line="240" w:lineRule="auto"/>
        <w:jc w:val="center"/>
        <w:rPr>
          <w:b/>
          <w:color w:val="808080"/>
          <w:sz w:val="32"/>
          <w:szCs w:val="32"/>
        </w:rPr>
      </w:pPr>
      <w:bookmarkStart w:id="0" w:name="_GoBack"/>
      <w:bookmarkEnd w:id="0"/>
    </w:p>
    <w:p w14:paraId="00000004" w14:textId="50701B0B" w:rsidR="00123F4F" w:rsidRDefault="71A1455D" w:rsidP="71A1455D">
      <w:pPr>
        <w:spacing w:after="0" w:line="240" w:lineRule="auto"/>
        <w:jc w:val="center"/>
        <w:rPr>
          <w:b/>
          <w:bCs/>
          <w:color w:val="2E75B5"/>
          <w:sz w:val="40"/>
          <w:szCs w:val="40"/>
        </w:rPr>
      </w:pPr>
      <w:proofErr w:type="spellStart"/>
      <w:r w:rsidRPr="71A1455D">
        <w:rPr>
          <w:b/>
          <w:bCs/>
          <w:color w:val="2E75B5"/>
          <w:sz w:val="40"/>
          <w:szCs w:val="40"/>
        </w:rPr>
        <w:t>MedECC</w:t>
      </w:r>
      <w:proofErr w:type="spellEnd"/>
      <w:r w:rsidRPr="71A1455D">
        <w:rPr>
          <w:b/>
          <w:bCs/>
          <w:color w:val="2E75B5"/>
          <w:sz w:val="40"/>
          <w:szCs w:val="40"/>
        </w:rPr>
        <w:t xml:space="preserve"> – Primer informe científico sobre el impacto del cambio climático y medioambiental en el Mediterráneo</w:t>
      </w:r>
    </w:p>
    <w:p w14:paraId="00000005" w14:textId="70DB58F3" w:rsidR="00123F4F" w:rsidRPr="00A94C46" w:rsidRDefault="007D746E">
      <w:pPr>
        <w:spacing w:after="0" w:line="240" w:lineRule="auto"/>
        <w:jc w:val="center"/>
        <w:rPr>
          <w:b/>
          <w:color w:val="808080"/>
          <w:sz w:val="32"/>
          <w:szCs w:val="32"/>
        </w:rPr>
      </w:pPr>
      <w:r w:rsidRPr="00A94C46">
        <w:rPr>
          <w:b/>
          <w:color w:val="808080"/>
          <w:sz w:val="32"/>
          <w:szCs w:val="32"/>
        </w:rPr>
        <w:t xml:space="preserve">Resumen </w:t>
      </w:r>
      <w:r w:rsidR="008244D4" w:rsidRPr="00A94C46">
        <w:rPr>
          <w:b/>
          <w:color w:val="808080"/>
          <w:sz w:val="32"/>
          <w:szCs w:val="32"/>
        </w:rPr>
        <w:t>de</w:t>
      </w:r>
      <w:r w:rsidRPr="00A94C46">
        <w:rPr>
          <w:b/>
          <w:color w:val="808080"/>
          <w:sz w:val="32"/>
          <w:szCs w:val="32"/>
        </w:rPr>
        <w:t xml:space="preserve"> prensa</w:t>
      </w:r>
    </w:p>
    <w:p w14:paraId="00000009" w14:textId="77777777" w:rsidR="00123F4F" w:rsidRPr="00A94C46" w:rsidRDefault="00123F4F" w:rsidP="007D746E">
      <w:pPr>
        <w:spacing w:after="0" w:line="240" w:lineRule="auto"/>
        <w:jc w:val="both"/>
        <w:rPr>
          <w:rFonts w:ascii="Times New Roman" w:eastAsia="Times New Roman" w:hAnsi="Times New Roman" w:cs="Times New Roman"/>
          <w:sz w:val="24"/>
          <w:szCs w:val="24"/>
        </w:rPr>
      </w:pPr>
    </w:p>
    <w:p w14:paraId="0000000A" w14:textId="4EB5365E" w:rsidR="00123F4F" w:rsidRDefault="71A1455D" w:rsidP="71A1455D">
      <w:pPr>
        <w:spacing w:after="0" w:line="240" w:lineRule="auto"/>
        <w:jc w:val="both"/>
        <w:rPr>
          <w:sz w:val="24"/>
          <w:szCs w:val="24"/>
        </w:rPr>
      </w:pPr>
      <w:r w:rsidRPr="71A1455D">
        <w:rPr>
          <w:sz w:val="24"/>
          <w:szCs w:val="24"/>
        </w:rPr>
        <w:t xml:space="preserve">La región mediterránea es uno de los principales focos de cambio climático en el mundo, y necesita, más que nunca, una fuerte movilización colectiva para hacer frente al desafío que se plantea. Sin embargo, debido a la falta de información exhaustiva y precisa a día de hoy, se ha retrasado el proceso. A pesar de los numerosos estudios científicos que se han realizado, no ha existido hasta ahora una síntesis coherente a nivel regional, incluso habiéndose llevado a cabo diversas evaluaciones de riesgos. Se espera que la elaboración del </w:t>
      </w:r>
      <w:r w:rsidR="00A94C46">
        <w:rPr>
          <w:sz w:val="24"/>
          <w:szCs w:val="24"/>
        </w:rPr>
        <w:t xml:space="preserve">presente </w:t>
      </w:r>
      <w:r w:rsidRPr="71A1455D">
        <w:rPr>
          <w:sz w:val="24"/>
          <w:szCs w:val="24"/>
        </w:rPr>
        <w:t>informe de evaluación reúna todos los conocimientos disponibles hasta la fecha permita el desarrollo y aplicación de políticas eficaces basadas en una comprensión general de los problemas.</w:t>
      </w:r>
    </w:p>
    <w:p w14:paraId="0000000D" w14:textId="77777777" w:rsidR="00123F4F" w:rsidRPr="00A94C46" w:rsidRDefault="00123F4F" w:rsidP="007D746E">
      <w:pPr>
        <w:spacing w:after="0" w:line="240" w:lineRule="auto"/>
        <w:jc w:val="both"/>
        <w:rPr>
          <w:color w:val="000000"/>
          <w:sz w:val="24"/>
          <w:szCs w:val="24"/>
        </w:rPr>
      </w:pPr>
    </w:p>
    <w:p w14:paraId="0000000E" w14:textId="77777777" w:rsidR="00123F4F" w:rsidRDefault="007D746E" w:rsidP="007D746E">
      <w:pPr>
        <w:spacing w:after="0" w:line="240" w:lineRule="auto"/>
        <w:jc w:val="both"/>
        <w:rPr>
          <w:sz w:val="24"/>
          <w:szCs w:val="24"/>
        </w:rPr>
      </w:pPr>
      <w:r>
        <w:rPr>
          <w:sz w:val="24"/>
          <w:szCs w:val="24"/>
        </w:rPr>
        <w:t xml:space="preserve">Desde 2015, una red de más de 80 científicos de toda la región </w:t>
      </w:r>
      <w:proofErr w:type="spellStart"/>
      <w:r>
        <w:rPr>
          <w:sz w:val="24"/>
          <w:szCs w:val="24"/>
        </w:rPr>
        <w:t>euromediterránea</w:t>
      </w:r>
      <w:proofErr w:type="spellEnd"/>
      <w:r>
        <w:rPr>
          <w:sz w:val="24"/>
          <w:szCs w:val="24"/>
        </w:rPr>
        <w:t xml:space="preserve"> (</w:t>
      </w:r>
      <w:hyperlink r:id="rId6">
        <w:r>
          <w:rPr>
            <w:color w:val="1155CC"/>
            <w:sz w:val="24"/>
            <w:szCs w:val="24"/>
            <w:u w:val="single"/>
          </w:rPr>
          <w:t xml:space="preserve">red </w:t>
        </w:r>
        <w:proofErr w:type="spellStart"/>
        <w:r>
          <w:rPr>
            <w:color w:val="1155CC"/>
            <w:sz w:val="24"/>
            <w:szCs w:val="24"/>
            <w:u w:val="single"/>
          </w:rPr>
          <w:t>Medecc</w:t>
        </w:r>
        <w:proofErr w:type="spellEnd"/>
      </w:hyperlink>
      <w:r>
        <w:rPr>
          <w:sz w:val="24"/>
          <w:szCs w:val="24"/>
        </w:rPr>
        <w:t>) ha estado elaborando un informe pionero e innovador que supondrá la mayor evaluación científica sobre el cambio climático y medioambiental a nivel regional en el Mediterráneo.</w:t>
      </w:r>
    </w:p>
    <w:p w14:paraId="00000011" w14:textId="77777777" w:rsidR="00123F4F" w:rsidRPr="00A94C46" w:rsidRDefault="00123F4F" w:rsidP="007D746E">
      <w:pPr>
        <w:spacing w:after="0" w:line="240" w:lineRule="auto"/>
        <w:jc w:val="both"/>
        <w:rPr>
          <w:rFonts w:ascii="Times New Roman" w:eastAsia="Times New Roman" w:hAnsi="Times New Roman" w:cs="Times New Roman"/>
          <w:sz w:val="24"/>
          <w:szCs w:val="24"/>
        </w:rPr>
      </w:pPr>
    </w:p>
    <w:p w14:paraId="00000012" w14:textId="09547A8A" w:rsidR="00123F4F" w:rsidRDefault="71A1455D" w:rsidP="71A1455D">
      <w:pPr>
        <w:spacing w:after="0" w:line="240" w:lineRule="auto"/>
        <w:jc w:val="both"/>
        <w:rPr>
          <w:sz w:val="24"/>
          <w:szCs w:val="24"/>
        </w:rPr>
      </w:pPr>
      <w:r w:rsidRPr="71A1455D">
        <w:rPr>
          <w:sz w:val="24"/>
          <w:szCs w:val="24"/>
        </w:rPr>
        <w:t xml:space="preserve">La Unión por el Mediterráneo, en cooperación con el Plan </w:t>
      </w:r>
      <w:proofErr w:type="spellStart"/>
      <w:r w:rsidRPr="71A1455D">
        <w:rPr>
          <w:sz w:val="24"/>
          <w:szCs w:val="24"/>
        </w:rPr>
        <w:t>Bleu</w:t>
      </w:r>
      <w:proofErr w:type="spellEnd"/>
      <w:r w:rsidRPr="71A1455D">
        <w:rPr>
          <w:sz w:val="24"/>
          <w:szCs w:val="24"/>
        </w:rPr>
        <w:t xml:space="preserve"> (Centro de Actividades Regionales del UNEP/MAP), apoya esta evaluación científica del </w:t>
      </w:r>
      <w:proofErr w:type="spellStart"/>
      <w:r w:rsidRPr="71A1455D">
        <w:rPr>
          <w:sz w:val="24"/>
          <w:szCs w:val="24"/>
        </w:rPr>
        <w:t>MedECC</w:t>
      </w:r>
      <w:proofErr w:type="spellEnd"/>
      <w:r w:rsidRPr="71A1455D">
        <w:rPr>
          <w:sz w:val="24"/>
          <w:szCs w:val="24"/>
        </w:rPr>
        <w:t xml:space="preserve"> sobre los impactos del cambio climático y ambiental en la cuenca mediterránea, tras el llamamiento hecho por los Ministros de Medio Ambiente </w:t>
      </w:r>
      <w:r w:rsidR="00A94C46">
        <w:rPr>
          <w:sz w:val="24"/>
          <w:szCs w:val="24"/>
        </w:rPr>
        <w:t xml:space="preserve">de los estados de la </w:t>
      </w:r>
      <w:proofErr w:type="spellStart"/>
      <w:r w:rsidR="00A94C46">
        <w:rPr>
          <w:sz w:val="24"/>
          <w:szCs w:val="24"/>
        </w:rPr>
        <w:t>UpM</w:t>
      </w:r>
      <w:proofErr w:type="spellEnd"/>
      <w:r w:rsidR="00A94C46">
        <w:rPr>
          <w:sz w:val="24"/>
          <w:szCs w:val="24"/>
        </w:rPr>
        <w:t xml:space="preserve"> en 2014</w:t>
      </w:r>
      <w:r w:rsidRPr="71A1455D">
        <w:rPr>
          <w:sz w:val="24"/>
          <w:szCs w:val="24"/>
        </w:rPr>
        <w:t xml:space="preserve">. </w:t>
      </w:r>
      <w:proofErr w:type="spellStart"/>
      <w:r w:rsidRPr="71A1455D">
        <w:rPr>
          <w:sz w:val="24"/>
          <w:szCs w:val="24"/>
        </w:rPr>
        <w:t>MedECC</w:t>
      </w:r>
      <w:proofErr w:type="spellEnd"/>
      <w:r w:rsidRPr="71A1455D">
        <w:rPr>
          <w:sz w:val="24"/>
          <w:szCs w:val="24"/>
        </w:rPr>
        <w:t xml:space="preserve"> contribuye a la aplicación de la Estrategia Mediterránea para el Desarrollo Sostenible (MSSD) 2016-2025 del sistema de la Convención de Barcelona del Plan de Acción para el Mediterráneo.</w:t>
      </w:r>
    </w:p>
    <w:p w14:paraId="00000015" w14:textId="77777777" w:rsidR="00123F4F" w:rsidRPr="00A94C46" w:rsidRDefault="00123F4F" w:rsidP="007D746E">
      <w:pPr>
        <w:spacing w:after="0" w:line="240" w:lineRule="auto"/>
        <w:jc w:val="both"/>
        <w:rPr>
          <w:color w:val="000000"/>
          <w:sz w:val="24"/>
          <w:szCs w:val="24"/>
        </w:rPr>
      </w:pPr>
    </w:p>
    <w:p w14:paraId="00000016" w14:textId="2482DD27" w:rsidR="00123F4F" w:rsidRDefault="007D746E" w:rsidP="007D746E">
      <w:pPr>
        <w:jc w:val="both"/>
        <w:rPr>
          <w:sz w:val="24"/>
          <w:szCs w:val="24"/>
        </w:rPr>
      </w:pPr>
      <w:r>
        <w:rPr>
          <w:sz w:val="24"/>
          <w:szCs w:val="24"/>
        </w:rPr>
        <w:t xml:space="preserve">Las conclusiones provisionales del informe se presentarán públicamente el 10 de octubre en el </w:t>
      </w:r>
      <w:r w:rsidR="00A94C46">
        <w:rPr>
          <w:sz w:val="24"/>
          <w:szCs w:val="24"/>
        </w:rPr>
        <w:t>4º</w:t>
      </w:r>
      <w:r>
        <w:rPr>
          <w:sz w:val="24"/>
          <w:szCs w:val="24"/>
        </w:rPr>
        <w:t xml:space="preserve"> Foro Regional de la </w:t>
      </w:r>
      <w:proofErr w:type="spellStart"/>
      <w:r>
        <w:rPr>
          <w:sz w:val="24"/>
          <w:szCs w:val="24"/>
        </w:rPr>
        <w:t>UpM</w:t>
      </w:r>
      <w:proofErr w:type="spellEnd"/>
      <w:r>
        <w:rPr>
          <w:sz w:val="24"/>
          <w:szCs w:val="24"/>
        </w:rPr>
        <w:t xml:space="preserve">. El informe final se presentará en 2020 en una reunión de los Ministros de Medio Ambiente de los Estados miembros de la </w:t>
      </w:r>
      <w:proofErr w:type="spellStart"/>
      <w:r>
        <w:rPr>
          <w:sz w:val="24"/>
          <w:szCs w:val="24"/>
        </w:rPr>
        <w:t>UpM</w:t>
      </w:r>
      <w:proofErr w:type="spellEnd"/>
      <w:r>
        <w:rPr>
          <w:sz w:val="24"/>
          <w:szCs w:val="24"/>
        </w:rPr>
        <w:t>.</w:t>
      </w:r>
    </w:p>
    <w:p w14:paraId="0000001C" w14:textId="77777777" w:rsidR="00123F4F" w:rsidRPr="00A94C46" w:rsidRDefault="00123F4F" w:rsidP="007D746E">
      <w:pPr>
        <w:spacing w:after="0" w:line="240" w:lineRule="auto"/>
        <w:jc w:val="both"/>
        <w:rPr>
          <w:rFonts w:ascii="Times New Roman" w:eastAsia="Times New Roman" w:hAnsi="Times New Roman" w:cs="Times New Roman"/>
          <w:sz w:val="24"/>
          <w:szCs w:val="24"/>
        </w:rPr>
      </w:pPr>
    </w:p>
    <w:p w14:paraId="0000001D" w14:textId="77777777" w:rsidR="00123F4F" w:rsidRDefault="007D746E" w:rsidP="007D746E">
      <w:pPr>
        <w:spacing w:after="0" w:line="240" w:lineRule="auto"/>
        <w:jc w:val="both"/>
        <w:rPr>
          <w:b/>
          <w:sz w:val="24"/>
          <w:szCs w:val="24"/>
        </w:rPr>
      </w:pPr>
      <w:r>
        <w:rPr>
          <w:b/>
          <w:sz w:val="24"/>
          <w:szCs w:val="24"/>
        </w:rPr>
        <w:t xml:space="preserve">¿Por qué este informe? </w:t>
      </w:r>
    </w:p>
    <w:p w14:paraId="0000001E" w14:textId="3AD3CA2F" w:rsidR="00123F4F" w:rsidRDefault="007D746E" w:rsidP="007D746E">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Para proporcionar una mejor información científica sobre los riesgos del cambio climático y medioambiental en la región mediterránea: al estar constituida por tres continentes, las zonas de la región suelen ser consideradas </w:t>
      </w:r>
      <w:r w:rsidR="007677BE">
        <w:rPr>
          <w:color w:val="000000"/>
          <w:sz w:val="24"/>
          <w:szCs w:val="24"/>
        </w:rPr>
        <w:t>de manera poco fruct</w:t>
      </w:r>
      <w:r w:rsidR="00001FCF">
        <w:rPr>
          <w:color w:val="000000"/>
          <w:sz w:val="24"/>
          <w:szCs w:val="24"/>
        </w:rPr>
        <w:t>ífera</w:t>
      </w:r>
      <w:r w:rsidR="007677BE">
        <w:rPr>
          <w:color w:val="000000"/>
          <w:sz w:val="24"/>
          <w:szCs w:val="24"/>
        </w:rPr>
        <w:t xml:space="preserve"> </w:t>
      </w:r>
      <w:r>
        <w:rPr>
          <w:color w:val="000000"/>
          <w:sz w:val="24"/>
          <w:szCs w:val="24"/>
        </w:rPr>
        <w:t>como entidades separadas en los informes oficiales.</w:t>
      </w:r>
    </w:p>
    <w:p w14:paraId="0000001F" w14:textId="7CC109FA" w:rsidR="00123F4F" w:rsidRDefault="756616EF" w:rsidP="756616EF">
      <w:pPr>
        <w:numPr>
          <w:ilvl w:val="0"/>
          <w:numId w:val="17"/>
        </w:numPr>
        <w:pBdr>
          <w:top w:val="nil"/>
          <w:left w:val="nil"/>
          <w:bottom w:val="nil"/>
          <w:right w:val="nil"/>
          <w:between w:val="nil"/>
        </w:pBdr>
        <w:spacing w:after="0" w:line="240" w:lineRule="auto"/>
        <w:jc w:val="both"/>
        <w:rPr>
          <w:color w:val="000000" w:themeColor="text1"/>
          <w:sz w:val="24"/>
          <w:szCs w:val="24"/>
        </w:rPr>
      </w:pPr>
      <w:r w:rsidRPr="756616EF">
        <w:rPr>
          <w:color w:val="000000" w:themeColor="text1"/>
          <w:sz w:val="24"/>
          <w:szCs w:val="24"/>
        </w:rPr>
        <w:t>Para facilitar la toma de decisiones y ayudar a realizar contribuciones a nivel nacional en el marco del Acuerdo de París, los planes nacionales de adaptación y otras políticas como el desarrollo rural, la salud, la biodiversidad</w:t>
      </w:r>
      <w:r w:rsidRPr="756616EF">
        <w:rPr>
          <w:sz w:val="24"/>
          <w:szCs w:val="24"/>
        </w:rPr>
        <w:t>, etc</w:t>
      </w:r>
      <w:r w:rsidRPr="756616EF">
        <w:rPr>
          <w:color w:val="000000" w:themeColor="text1"/>
          <w:sz w:val="24"/>
          <w:szCs w:val="24"/>
        </w:rPr>
        <w:t>.</w:t>
      </w:r>
    </w:p>
    <w:p w14:paraId="00000020" w14:textId="576DD175" w:rsidR="00123F4F" w:rsidRDefault="007D746E" w:rsidP="007D746E">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Para fomentar la cooperación regional y con</w:t>
      </w:r>
      <w:r w:rsidR="00001FCF">
        <w:rPr>
          <w:color w:val="000000"/>
          <w:sz w:val="24"/>
          <w:szCs w:val="24"/>
        </w:rPr>
        <w:t xml:space="preserve">sensuada </w:t>
      </w:r>
      <w:r>
        <w:rPr>
          <w:color w:val="000000"/>
          <w:sz w:val="24"/>
          <w:szCs w:val="24"/>
        </w:rPr>
        <w:t>en todos los ámbitos relacionados con el cambio climático y medioambiental.</w:t>
      </w:r>
    </w:p>
    <w:p w14:paraId="0000002C" w14:textId="77777777" w:rsidR="00123F4F" w:rsidRPr="00A94C46" w:rsidRDefault="00123F4F" w:rsidP="007D746E">
      <w:pPr>
        <w:spacing w:after="0" w:line="240" w:lineRule="auto"/>
        <w:jc w:val="both"/>
        <w:rPr>
          <w:rFonts w:ascii="Times New Roman" w:eastAsia="Times New Roman" w:hAnsi="Times New Roman" w:cs="Times New Roman"/>
          <w:sz w:val="24"/>
          <w:szCs w:val="24"/>
        </w:rPr>
      </w:pPr>
    </w:p>
    <w:p w14:paraId="0000002D" w14:textId="77777777" w:rsidR="00123F4F" w:rsidRDefault="007D746E" w:rsidP="007D746E">
      <w:pPr>
        <w:spacing w:after="0" w:line="240" w:lineRule="auto"/>
        <w:jc w:val="both"/>
        <w:rPr>
          <w:b/>
          <w:sz w:val="24"/>
          <w:szCs w:val="24"/>
          <w:u w:val="single"/>
        </w:rPr>
      </w:pPr>
      <w:r>
        <w:rPr>
          <w:b/>
          <w:sz w:val="24"/>
          <w:szCs w:val="24"/>
          <w:u w:val="single"/>
        </w:rPr>
        <w:lastRenderedPageBreak/>
        <w:t>Principales conclusiones del informe:</w:t>
      </w:r>
    </w:p>
    <w:p w14:paraId="0000002E" w14:textId="77777777" w:rsidR="00123F4F" w:rsidRDefault="00123F4F" w:rsidP="007D746E">
      <w:pPr>
        <w:spacing w:after="0" w:line="240" w:lineRule="auto"/>
        <w:jc w:val="both"/>
        <w:rPr>
          <w:sz w:val="24"/>
          <w:szCs w:val="24"/>
        </w:rPr>
      </w:pPr>
    </w:p>
    <w:p w14:paraId="0000002F" w14:textId="77777777" w:rsidR="00123F4F" w:rsidRDefault="007D746E" w:rsidP="007D746E">
      <w:pPr>
        <w:spacing w:after="0" w:line="240" w:lineRule="auto"/>
        <w:jc w:val="both"/>
        <w:rPr>
          <w:b/>
          <w:sz w:val="24"/>
          <w:szCs w:val="24"/>
        </w:rPr>
      </w:pPr>
      <w:r>
        <w:rPr>
          <w:b/>
          <w:sz w:val="24"/>
          <w:szCs w:val="24"/>
        </w:rPr>
        <w:t>Clima:</w:t>
      </w:r>
    </w:p>
    <w:p w14:paraId="00000030" w14:textId="77777777" w:rsidR="00123F4F" w:rsidRDefault="00123F4F" w:rsidP="007D746E">
      <w:pPr>
        <w:spacing w:after="0" w:line="240" w:lineRule="auto"/>
        <w:jc w:val="both"/>
        <w:rPr>
          <w:b/>
          <w:sz w:val="24"/>
          <w:szCs w:val="24"/>
        </w:rPr>
      </w:pPr>
    </w:p>
    <w:p w14:paraId="00000031" w14:textId="62DE7FE3" w:rsidR="00123F4F" w:rsidRDefault="007D746E" w:rsidP="756616EF">
      <w:pPr>
        <w:spacing w:after="0" w:line="240" w:lineRule="auto"/>
        <w:jc w:val="both"/>
        <w:rPr>
          <w:sz w:val="24"/>
          <w:szCs w:val="24"/>
        </w:rPr>
      </w:pPr>
      <w:r>
        <w:rPr>
          <w:sz w:val="24"/>
          <w:szCs w:val="24"/>
        </w:rPr>
        <w:t xml:space="preserve">1. </w:t>
      </w:r>
      <w:r>
        <w:rPr>
          <w:sz w:val="24"/>
          <w:szCs w:val="24"/>
        </w:rPr>
        <w:tab/>
        <w:t xml:space="preserve">La cuenca mediterránea es uno de los principales focos de cambio climático y medioambiental. Además, es el hogar de 500 millones de personas. </w:t>
      </w:r>
    </w:p>
    <w:p w14:paraId="00000032" w14:textId="12A929E6" w:rsidR="00123F4F" w:rsidRDefault="007D746E" w:rsidP="756616EF">
      <w:pPr>
        <w:spacing w:after="0" w:line="240" w:lineRule="auto"/>
        <w:jc w:val="both"/>
        <w:rPr>
          <w:sz w:val="24"/>
          <w:szCs w:val="24"/>
        </w:rPr>
      </w:pPr>
      <w:r>
        <w:rPr>
          <w:sz w:val="24"/>
          <w:szCs w:val="24"/>
        </w:rPr>
        <w:t xml:space="preserve">2. </w:t>
      </w:r>
      <w:r>
        <w:rPr>
          <w:sz w:val="24"/>
          <w:szCs w:val="24"/>
        </w:rPr>
        <w:tab/>
        <w:t>La región mediterránea se ha calentado aproximadamente 1,5°C desde la época preindustrial, un 20% más rápido que la media mundial.</w:t>
      </w:r>
    </w:p>
    <w:p w14:paraId="00000033" w14:textId="5F2E6301" w:rsidR="00123F4F" w:rsidRDefault="007D746E" w:rsidP="756616EF">
      <w:pPr>
        <w:spacing w:after="0" w:line="240" w:lineRule="auto"/>
        <w:jc w:val="both"/>
        <w:rPr>
          <w:sz w:val="24"/>
          <w:szCs w:val="24"/>
        </w:rPr>
      </w:pPr>
      <w:r>
        <w:rPr>
          <w:sz w:val="24"/>
          <w:szCs w:val="24"/>
        </w:rPr>
        <w:t xml:space="preserve">3. </w:t>
      </w:r>
      <w:r>
        <w:rPr>
          <w:sz w:val="24"/>
          <w:szCs w:val="24"/>
        </w:rPr>
        <w:tab/>
        <w:t>Sin medidas de reducción adicionales, la temperatura regional aumentará 2,2°C para 2040, superando posiblemente los 3,8°C en algunas de las subregiones para 2100.</w:t>
      </w:r>
    </w:p>
    <w:p w14:paraId="00000034" w14:textId="10C572BE" w:rsidR="00123F4F" w:rsidRDefault="007D746E" w:rsidP="756616EF">
      <w:pPr>
        <w:spacing w:after="0" w:line="240" w:lineRule="auto"/>
        <w:jc w:val="both"/>
        <w:rPr>
          <w:sz w:val="24"/>
          <w:szCs w:val="24"/>
        </w:rPr>
      </w:pPr>
      <w:r>
        <w:rPr>
          <w:sz w:val="24"/>
          <w:szCs w:val="24"/>
        </w:rPr>
        <w:t xml:space="preserve">4. </w:t>
      </w:r>
      <w:r>
        <w:rPr>
          <w:sz w:val="24"/>
          <w:szCs w:val="24"/>
        </w:rPr>
        <w:tab/>
        <w:t xml:space="preserve">El aumento de las temperaturas implica olas de calor más significativas y duraderas. Para la mayoría de las grandes ciudades de la zona de </w:t>
      </w:r>
      <w:r w:rsidR="756616EF" w:rsidRPr="756616EF">
        <w:rPr>
          <w:sz w:val="24"/>
          <w:szCs w:val="24"/>
        </w:rPr>
        <w:t>Europa, Oriente Medio y África</w:t>
      </w:r>
      <w:r>
        <w:rPr>
          <w:sz w:val="24"/>
          <w:szCs w:val="24"/>
        </w:rPr>
        <w:t>, el mes de verano más frío del futuro será más cálido que el mes más caluroso de la actualidad, lo que provocará períodos prolongados de calor extremadamente intenso y perjudicial.</w:t>
      </w:r>
    </w:p>
    <w:p w14:paraId="00000035" w14:textId="77777777" w:rsidR="00123F4F" w:rsidRDefault="007D746E" w:rsidP="007D746E">
      <w:pPr>
        <w:spacing w:after="0" w:line="240" w:lineRule="auto"/>
        <w:jc w:val="both"/>
        <w:rPr>
          <w:sz w:val="24"/>
          <w:szCs w:val="24"/>
        </w:rPr>
      </w:pPr>
      <w:r>
        <w:rPr>
          <w:sz w:val="24"/>
          <w:szCs w:val="24"/>
        </w:rPr>
        <w:t>5.</w:t>
      </w:r>
      <w:r>
        <w:rPr>
          <w:sz w:val="24"/>
          <w:szCs w:val="24"/>
        </w:rPr>
        <w:tab/>
        <w:t>Las sequías extremas se harán más frecuentes en toda la cuenca del Mediterráneo, causando impactos significativos en muchos de sus ecosistemas.</w:t>
      </w:r>
    </w:p>
    <w:p w14:paraId="00000036" w14:textId="77777777" w:rsidR="00123F4F" w:rsidRDefault="00123F4F" w:rsidP="007D746E">
      <w:pPr>
        <w:spacing w:after="0" w:line="240" w:lineRule="auto"/>
        <w:jc w:val="both"/>
        <w:rPr>
          <w:sz w:val="24"/>
          <w:szCs w:val="24"/>
        </w:rPr>
      </w:pPr>
    </w:p>
    <w:p w14:paraId="00000041" w14:textId="7AEC9F08" w:rsidR="00123F4F" w:rsidRDefault="007D746E" w:rsidP="007D746E">
      <w:pPr>
        <w:spacing w:after="0" w:line="240" w:lineRule="auto"/>
        <w:jc w:val="both"/>
        <w:rPr>
          <w:b/>
          <w:sz w:val="24"/>
          <w:szCs w:val="24"/>
        </w:rPr>
      </w:pPr>
      <w:r>
        <w:rPr>
          <w:b/>
          <w:sz w:val="24"/>
          <w:szCs w:val="24"/>
        </w:rPr>
        <w:t>Nivel del mar</w:t>
      </w:r>
      <w:r w:rsidR="007F1757">
        <w:rPr>
          <w:b/>
          <w:sz w:val="24"/>
          <w:szCs w:val="24"/>
        </w:rPr>
        <w:t>:</w:t>
      </w:r>
    </w:p>
    <w:p w14:paraId="00000042" w14:textId="77777777" w:rsidR="00123F4F" w:rsidRDefault="007D746E" w:rsidP="007D746E">
      <w:pPr>
        <w:spacing w:after="0" w:line="240" w:lineRule="auto"/>
        <w:jc w:val="both"/>
        <w:rPr>
          <w:sz w:val="24"/>
          <w:szCs w:val="24"/>
        </w:rPr>
      </w:pPr>
      <w:r>
        <w:rPr>
          <w:sz w:val="24"/>
          <w:szCs w:val="24"/>
        </w:rPr>
        <w:t>6.</w:t>
      </w:r>
      <w:r>
        <w:rPr>
          <w:sz w:val="24"/>
          <w:szCs w:val="24"/>
        </w:rPr>
        <w:tab/>
        <w:t>El aumento del nivel del mar, aunque se estima que ha sido bajo hasta ahora, podría superar el metro para el año 2100, lo que afectaría a un tercio de la población de la región en las zonas costeras y pondría en peligro los medios de subsistencia de al menos 37 millones de personas sólo en el norte de África.</w:t>
      </w:r>
    </w:p>
    <w:p w14:paraId="00000043" w14:textId="7DD78AC2" w:rsidR="00123F4F" w:rsidRDefault="007D746E" w:rsidP="756616EF">
      <w:pPr>
        <w:spacing w:after="0" w:line="240" w:lineRule="auto"/>
        <w:jc w:val="both"/>
        <w:rPr>
          <w:sz w:val="24"/>
          <w:szCs w:val="24"/>
        </w:rPr>
      </w:pPr>
      <w:r>
        <w:rPr>
          <w:sz w:val="24"/>
          <w:szCs w:val="24"/>
        </w:rPr>
        <w:t>7.</w:t>
      </w:r>
      <w:r>
        <w:rPr>
          <w:sz w:val="24"/>
          <w:szCs w:val="24"/>
        </w:rPr>
        <w:tab/>
        <w:t>En 2050, las ciudades mediterráneas representarán la mitad de las 20 ciudades del mundo con mayores daños anuales por la subida del nivel del mar. Esto supondrá una carga adicional para los ya escasos recursos de muchas zonas urbanas de la región.</w:t>
      </w:r>
    </w:p>
    <w:p w14:paraId="00000044" w14:textId="77777777" w:rsidR="00123F4F" w:rsidRDefault="007D746E" w:rsidP="007D746E">
      <w:pPr>
        <w:spacing w:after="0" w:line="240" w:lineRule="auto"/>
        <w:jc w:val="both"/>
        <w:rPr>
          <w:sz w:val="24"/>
          <w:szCs w:val="24"/>
        </w:rPr>
      </w:pPr>
      <w:r>
        <w:rPr>
          <w:sz w:val="24"/>
          <w:szCs w:val="24"/>
        </w:rPr>
        <w:t>8.</w:t>
      </w:r>
      <w:r>
        <w:rPr>
          <w:sz w:val="24"/>
          <w:szCs w:val="24"/>
        </w:rPr>
        <w:tab/>
        <w:t>La productividad agrícola en las zonas costeras está en peligro debido a la pérdida de tierras que serán inundadas y a la salinización de las aguas subterráneas como consecuencia de la intrusión de agua de mar.</w:t>
      </w:r>
    </w:p>
    <w:p w14:paraId="0000004B" w14:textId="77777777" w:rsidR="00123F4F" w:rsidRPr="00A94C46" w:rsidRDefault="00123F4F" w:rsidP="007D746E">
      <w:pPr>
        <w:spacing w:after="0" w:line="240" w:lineRule="auto"/>
        <w:jc w:val="both"/>
        <w:rPr>
          <w:color w:val="000000"/>
          <w:sz w:val="24"/>
          <w:szCs w:val="24"/>
          <w:highlight w:val="yellow"/>
        </w:rPr>
      </w:pPr>
    </w:p>
    <w:p w14:paraId="0000004C" w14:textId="76C83D82" w:rsidR="00123F4F" w:rsidRDefault="007D746E" w:rsidP="007D746E">
      <w:pPr>
        <w:spacing w:after="0" w:line="240" w:lineRule="auto"/>
        <w:jc w:val="both"/>
        <w:rPr>
          <w:b/>
          <w:sz w:val="24"/>
          <w:szCs w:val="24"/>
        </w:rPr>
      </w:pPr>
      <w:r>
        <w:rPr>
          <w:b/>
          <w:sz w:val="24"/>
          <w:szCs w:val="24"/>
        </w:rPr>
        <w:t xml:space="preserve">Recursos </w:t>
      </w:r>
      <w:r w:rsidR="007F1757">
        <w:rPr>
          <w:b/>
          <w:sz w:val="24"/>
          <w:szCs w:val="24"/>
        </w:rPr>
        <w:t>hídricos</w:t>
      </w:r>
      <w:r>
        <w:rPr>
          <w:b/>
          <w:sz w:val="24"/>
          <w:szCs w:val="24"/>
        </w:rPr>
        <w:t xml:space="preserve">: </w:t>
      </w:r>
    </w:p>
    <w:p w14:paraId="0000004D" w14:textId="77777777" w:rsidR="00123F4F" w:rsidRDefault="007D746E" w:rsidP="007D746E">
      <w:pPr>
        <w:spacing w:after="0" w:line="240" w:lineRule="auto"/>
        <w:jc w:val="both"/>
        <w:rPr>
          <w:sz w:val="24"/>
          <w:szCs w:val="24"/>
        </w:rPr>
      </w:pPr>
      <w:r>
        <w:rPr>
          <w:sz w:val="24"/>
          <w:szCs w:val="24"/>
        </w:rPr>
        <w:t>9.</w:t>
      </w:r>
      <w:r>
        <w:rPr>
          <w:sz w:val="24"/>
          <w:szCs w:val="24"/>
        </w:rPr>
        <w:tab/>
        <w:t>Es probable que la escasez de agua dulce disminuya hasta en un 15% en las próximas décadas, lo que causará graves limitaciones para la agricultura y para el uso humano en una zona que ya sufre de escasez de agua.</w:t>
      </w:r>
    </w:p>
    <w:p w14:paraId="0000004E" w14:textId="77777777" w:rsidR="00123F4F" w:rsidRDefault="007D746E" w:rsidP="007D746E">
      <w:pPr>
        <w:spacing w:after="0" w:line="240" w:lineRule="auto"/>
        <w:jc w:val="both"/>
        <w:rPr>
          <w:sz w:val="24"/>
          <w:szCs w:val="24"/>
        </w:rPr>
      </w:pPr>
      <w:r>
        <w:rPr>
          <w:sz w:val="24"/>
          <w:szCs w:val="24"/>
        </w:rPr>
        <w:t>10.</w:t>
      </w:r>
      <w:r>
        <w:rPr>
          <w:sz w:val="24"/>
          <w:szCs w:val="24"/>
        </w:rPr>
        <w:tab/>
        <w:t>Más de 250 millones de personas sufrirán la escasez de agua dentro de 20 años. Es probable que se produzcan numerosos efectos en cadena en las condiciones de vida de los seres humanos, incluido el potencial de que surjan nuevos conflictos entre los pueblos, así como la intensificación de las migraciones masivas.</w:t>
      </w:r>
    </w:p>
    <w:p w14:paraId="0000004F" w14:textId="2BDD3ED8" w:rsidR="00123F4F" w:rsidRDefault="007D746E" w:rsidP="007D746E">
      <w:pPr>
        <w:spacing w:after="0" w:line="240" w:lineRule="auto"/>
        <w:jc w:val="both"/>
        <w:rPr>
          <w:sz w:val="24"/>
          <w:szCs w:val="24"/>
        </w:rPr>
      </w:pPr>
      <w:r>
        <w:rPr>
          <w:sz w:val="24"/>
          <w:szCs w:val="24"/>
        </w:rPr>
        <w:t>11.</w:t>
      </w:r>
      <w:r>
        <w:rPr>
          <w:sz w:val="24"/>
          <w:szCs w:val="24"/>
        </w:rPr>
        <w:tab/>
        <w:t>Las sequías se han producido con una frecuencia cada vez mayor desde los años cincuenta. Incluso si el calentamiento global se mantiene por debajo de los 2°C, las personas que viven en las cuencas fluviales de Oriente Próximo estarán expuestas a una fuerte escasez de agua.</w:t>
      </w:r>
    </w:p>
    <w:p w14:paraId="0000005B" w14:textId="77777777" w:rsidR="00123F4F" w:rsidRPr="00A94C46" w:rsidRDefault="00123F4F" w:rsidP="007D746E">
      <w:pPr>
        <w:spacing w:after="0" w:line="240" w:lineRule="auto"/>
        <w:jc w:val="both"/>
        <w:rPr>
          <w:b/>
          <w:color w:val="000000"/>
          <w:sz w:val="24"/>
          <w:szCs w:val="24"/>
          <w:highlight w:val="yellow"/>
        </w:rPr>
      </w:pPr>
    </w:p>
    <w:p w14:paraId="0000005C" w14:textId="77777777" w:rsidR="00123F4F" w:rsidRDefault="007D746E" w:rsidP="007D746E">
      <w:pPr>
        <w:spacing w:after="0" w:line="240" w:lineRule="auto"/>
        <w:jc w:val="both"/>
        <w:rPr>
          <w:b/>
          <w:sz w:val="24"/>
          <w:szCs w:val="24"/>
        </w:rPr>
      </w:pPr>
      <w:r>
        <w:rPr>
          <w:b/>
          <w:sz w:val="24"/>
          <w:szCs w:val="24"/>
        </w:rPr>
        <w:t>Ecosistemas:</w:t>
      </w:r>
    </w:p>
    <w:p w14:paraId="0000005D" w14:textId="77777777" w:rsidR="00123F4F" w:rsidRDefault="007D746E" w:rsidP="007D746E">
      <w:pPr>
        <w:spacing w:after="0" w:line="240" w:lineRule="auto"/>
        <w:jc w:val="both"/>
        <w:rPr>
          <w:sz w:val="24"/>
          <w:szCs w:val="24"/>
        </w:rPr>
      </w:pPr>
      <w:r>
        <w:rPr>
          <w:sz w:val="24"/>
          <w:szCs w:val="24"/>
        </w:rPr>
        <w:t>12.</w:t>
      </w:r>
      <w:r>
        <w:rPr>
          <w:sz w:val="24"/>
          <w:szCs w:val="24"/>
        </w:rPr>
        <w:tab/>
        <w:t>La cuenca mediterránea es uno de los puntos más importantes de biodiversidad del mundo, pero muchos ecosistemas están amenazados por el cambio climático, el cambio de uso de la tierra, la contaminación y la sobreexplotación.</w:t>
      </w:r>
    </w:p>
    <w:p w14:paraId="0000005E" w14:textId="77777777" w:rsidR="00123F4F" w:rsidRDefault="007D746E" w:rsidP="007D746E">
      <w:pPr>
        <w:spacing w:after="0" w:line="240" w:lineRule="auto"/>
        <w:jc w:val="both"/>
        <w:rPr>
          <w:sz w:val="24"/>
          <w:szCs w:val="24"/>
        </w:rPr>
      </w:pPr>
      <w:r>
        <w:rPr>
          <w:sz w:val="24"/>
          <w:szCs w:val="24"/>
        </w:rPr>
        <w:lastRenderedPageBreak/>
        <w:t>13.</w:t>
      </w:r>
      <w:r>
        <w:rPr>
          <w:sz w:val="24"/>
          <w:szCs w:val="24"/>
        </w:rPr>
        <w:tab/>
        <w:t>La acidificación del agua de mar y el aumento de la temperatura del mar ya han causado una pérdida del 41% de los principales depredadores, incluidos los mamíferos marinos. El 34% de las especies de peces se pierden debido a la sobrepesca.</w:t>
      </w:r>
    </w:p>
    <w:p w14:paraId="0000005F" w14:textId="343255DE" w:rsidR="00123F4F" w:rsidRDefault="007D746E" w:rsidP="007D746E">
      <w:pPr>
        <w:spacing w:after="0" w:line="240" w:lineRule="auto"/>
        <w:jc w:val="both"/>
        <w:rPr>
          <w:sz w:val="24"/>
          <w:szCs w:val="24"/>
        </w:rPr>
      </w:pPr>
      <w:r>
        <w:rPr>
          <w:sz w:val="24"/>
          <w:szCs w:val="24"/>
        </w:rPr>
        <w:t>14.</w:t>
      </w:r>
      <w:r>
        <w:rPr>
          <w:sz w:val="24"/>
          <w:szCs w:val="24"/>
        </w:rPr>
        <w:tab/>
        <w:t>En tierra, los cambios en la biodiversidad del Mediterráneo incluyen la degradación de los bosques y la pérdida de humedales, pero también la pérdida de hábitats abiertos debido al abandono del agro</w:t>
      </w:r>
      <w:r w:rsidR="004662E9">
        <w:rPr>
          <w:sz w:val="24"/>
          <w:szCs w:val="24"/>
        </w:rPr>
        <w:t>-</w:t>
      </w:r>
      <w:r>
        <w:rPr>
          <w:sz w:val="24"/>
          <w:szCs w:val="24"/>
        </w:rPr>
        <w:t>pastoreo. Los paisajes agrícolas están perdiendo muchas especies de plantas, aves y otros animales debido a la incesante intensificación. El cambio climático y el uso insostenible de la tierra agravarán estas circunstancias.</w:t>
      </w:r>
    </w:p>
    <w:p w14:paraId="00000060" w14:textId="792D67E7" w:rsidR="00123F4F" w:rsidRDefault="007D746E" w:rsidP="007D746E">
      <w:pPr>
        <w:spacing w:after="0" w:line="240" w:lineRule="auto"/>
        <w:jc w:val="both"/>
        <w:rPr>
          <w:sz w:val="24"/>
          <w:szCs w:val="24"/>
        </w:rPr>
      </w:pPr>
      <w:r>
        <w:rPr>
          <w:sz w:val="24"/>
          <w:szCs w:val="24"/>
        </w:rPr>
        <w:t>15.</w:t>
      </w:r>
      <w:r>
        <w:rPr>
          <w:sz w:val="24"/>
          <w:szCs w:val="24"/>
        </w:rPr>
        <w:tab/>
        <w:t>Durante las últimas décadas, el alcance y la intensidad de los brotes de medusas se han visto favorecidos por el aumento de la temperatura del agua, lo que ha convertido a esta especie en una plaga, ya que se encuentra en cantidades poco comunes y perturban otros ecosistemas bien equilibrados.</w:t>
      </w:r>
    </w:p>
    <w:p w14:paraId="00000061" w14:textId="77777777" w:rsidR="00123F4F" w:rsidRDefault="007D746E" w:rsidP="007D746E">
      <w:pPr>
        <w:spacing w:after="0" w:line="240" w:lineRule="auto"/>
        <w:jc w:val="both"/>
        <w:rPr>
          <w:sz w:val="24"/>
          <w:szCs w:val="24"/>
        </w:rPr>
      </w:pPr>
      <w:r>
        <w:rPr>
          <w:sz w:val="24"/>
          <w:szCs w:val="24"/>
        </w:rPr>
        <w:t>16.</w:t>
      </w:r>
      <w:r>
        <w:rPr>
          <w:sz w:val="24"/>
          <w:szCs w:val="24"/>
        </w:rPr>
        <w:tab/>
        <w:t>La invasión de mosquitos tigres (</w:t>
      </w:r>
      <w:r w:rsidRPr="00A94C46">
        <w:rPr>
          <w:i/>
          <w:iCs/>
          <w:sz w:val="24"/>
          <w:szCs w:val="24"/>
        </w:rPr>
        <w:t xml:space="preserve">Aedes </w:t>
      </w:r>
      <w:proofErr w:type="spellStart"/>
      <w:r w:rsidRPr="00A94C46">
        <w:rPr>
          <w:i/>
          <w:iCs/>
          <w:sz w:val="24"/>
          <w:szCs w:val="24"/>
        </w:rPr>
        <w:t>albopictus</w:t>
      </w:r>
      <w:proofErr w:type="spellEnd"/>
      <w:r>
        <w:rPr>
          <w:sz w:val="24"/>
          <w:szCs w:val="24"/>
        </w:rPr>
        <w:t>) se ve incrementada por los cambios en el clima y el medio ambiente.</w:t>
      </w:r>
    </w:p>
    <w:p w14:paraId="00000062" w14:textId="77777777" w:rsidR="00123F4F" w:rsidRDefault="007D746E" w:rsidP="007D746E">
      <w:pPr>
        <w:spacing w:after="0" w:line="240" w:lineRule="auto"/>
        <w:jc w:val="both"/>
        <w:rPr>
          <w:sz w:val="24"/>
          <w:szCs w:val="24"/>
        </w:rPr>
      </w:pPr>
      <w:r>
        <w:rPr>
          <w:sz w:val="24"/>
          <w:szCs w:val="24"/>
        </w:rPr>
        <w:t>17.</w:t>
      </w:r>
      <w:r>
        <w:rPr>
          <w:sz w:val="24"/>
          <w:szCs w:val="24"/>
        </w:rPr>
        <w:tab/>
        <w:t>Más de 700 especies de plantas y animales marinos no autóctonos indican condiciones más cálidas (a menudo procedentes del Mar Rojo). Algunos depredadores exóticos como el pez león pueden tener ventajas sobre las especies nativas, causando la extinción regional o la pérdida de hábitat.</w:t>
      </w:r>
    </w:p>
    <w:p w14:paraId="00000063" w14:textId="0A5A2F90" w:rsidR="00123F4F" w:rsidRDefault="007D746E" w:rsidP="007D746E">
      <w:pPr>
        <w:spacing w:after="0" w:line="240" w:lineRule="auto"/>
        <w:jc w:val="both"/>
        <w:rPr>
          <w:sz w:val="24"/>
          <w:szCs w:val="24"/>
        </w:rPr>
      </w:pPr>
      <w:r>
        <w:rPr>
          <w:sz w:val="24"/>
          <w:szCs w:val="24"/>
        </w:rPr>
        <w:t>18.</w:t>
      </w:r>
      <w:r>
        <w:rPr>
          <w:sz w:val="24"/>
          <w:szCs w:val="24"/>
        </w:rPr>
        <w:tab/>
        <w:t xml:space="preserve">Los grandes incendios debidos al cambio climático, provocados por el calor y la sequedad, pero también por los cambios en el paisaje, han destruido una cantidad </w:t>
      </w:r>
      <w:r w:rsidR="00AC01D2">
        <w:rPr>
          <w:sz w:val="24"/>
          <w:szCs w:val="24"/>
        </w:rPr>
        <w:t>récord</w:t>
      </w:r>
      <w:r>
        <w:rPr>
          <w:sz w:val="24"/>
          <w:szCs w:val="24"/>
        </w:rPr>
        <w:t xml:space="preserve"> de áreas </w:t>
      </w:r>
      <w:r w:rsidR="00AC01D2">
        <w:rPr>
          <w:sz w:val="24"/>
          <w:szCs w:val="24"/>
        </w:rPr>
        <w:t>boscosas</w:t>
      </w:r>
      <w:r>
        <w:rPr>
          <w:sz w:val="24"/>
          <w:szCs w:val="24"/>
        </w:rPr>
        <w:t xml:space="preserve"> en los últimos años, dañando la biodiversidad y también su capacidad de absorción de CO2. El área quemada futura podría aumentar hasta un 40% sólo con un escenario de calentamiento de 1,5°C.</w:t>
      </w:r>
    </w:p>
    <w:p w14:paraId="00000064" w14:textId="40DF5A7D" w:rsidR="00123F4F" w:rsidRDefault="007D746E" w:rsidP="007D746E">
      <w:pPr>
        <w:spacing w:after="0" w:line="240" w:lineRule="auto"/>
        <w:jc w:val="both"/>
        <w:rPr>
          <w:sz w:val="24"/>
          <w:szCs w:val="24"/>
        </w:rPr>
      </w:pPr>
      <w:r>
        <w:rPr>
          <w:sz w:val="24"/>
          <w:szCs w:val="24"/>
        </w:rPr>
        <w:t>19.</w:t>
      </w:r>
      <w:r>
        <w:rPr>
          <w:sz w:val="24"/>
          <w:szCs w:val="24"/>
        </w:rPr>
        <w:tab/>
        <w:t>La inundación y la intrusión de agua salada afectarán a muchos humedales costeros delicadamente equilibrados.</w:t>
      </w:r>
    </w:p>
    <w:p w14:paraId="00000069" w14:textId="77777777" w:rsidR="00123F4F" w:rsidRPr="00A94C46" w:rsidRDefault="00123F4F" w:rsidP="007D746E">
      <w:pPr>
        <w:spacing w:after="0" w:line="240" w:lineRule="auto"/>
        <w:jc w:val="both"/>
        <w:rPr>
          <w:rFonts w:ascii="Times New Roman" w:eastAsia="Times New Roman" w:hAnsi="Times New Roman" w:cs="Times New Roman"/>
          <w:sz w:val="24"/>
          <w:szCs w:val="24"/>
        </w:rPr>
      </w:pPr>
    </w:p>
    <w:p w14:paraId="0000006A" w14:textId="77777777" w:rsidR="00123F4F" w:rsidRDefault="007D746E" w:rsidP="007D746E">
      <w:pPr>
        <w:spacing w:after="0" w:line="240" w:lineRule="auto"/>
        <w:jc w:val="both"/>
        <w:rPr>
          <w:b/>
          <w:sz w:val="24"/>
          <w:szCs w:val="24"/>
        </w:rPr>
      </w:pPr>
      <w:bookmarkStart w:id="1" w:name="_heading=h.gjdgxs" w:colFirst="0" w:colLast="0"/>
      <w:bookmarkEnd w:id="1"/>
      <w:r>
        <w:rPr>
          <w:b/>
          <w:sz w:val="24"/>
          <w:szCs w:val="24"/>
        </w:rPr>
        <w:t>La seguridad alimentaria:</w:t>
      </w:r>
    </w:p>
    <w:p w14:paraId="0000006B" w14:textId="77777777" w:rsidR="00123F4F" w:rsidRDefault="007D746E" w:rsidP="007D746E">
      <w:pPr>
        <w:spacing w:after="0" w:line="240" w:lineRule="auto"/>
        <w:jc w:val="both"/>
        <w:rPr>
          <w:sz w:val="24"/>
          <w:szCs w:val="24"/>
        </w:rPr>
      </w:pPr>
      <w:r>
        <w:rPr>
          <w:sz w:val="24"/>
          <w:szCs w:val="24"/>
        </w:rPr>
        <w:t>20.</w:t>
      </w:r>
      <w:r>
        <w:rPr>
          <w:sz w:val="24"/>
          <w:szCs w:val="24"/>
        </w:rPr>
        <w:tab/>
        <w:t>La demanda de alimentos aumentará debido al crecimiento de la población, y surgirá una escasez cuando disminuyan las cosechas, el rendimiento de la pesca y el ganado. El 90% de las poblaciones de peces comercializadas ya están sobreexplotadas en el Mediterráneo, y se prevé que el peso corporal máximo medio de los peces se reducirá hasta en un 49% para 2050.</w:t>
      </w:r>
    </w:p>
    <w:p w14:paraId="0000006C" w14:textId="77777777" w:rsidR="00123F4F" w:rsidRDefault="007D746E" w:rsidP="007D746E">
      <w:pPr>
        <w:spacing w:after="0" w:line="240" w:lineRule="auto"/>
        <w:jc w:val="both"/>
        <w:rPr>
          <w:sz w:val="24"/>
          <w:szCs w:val="24"/>
        </w:rPr>
      </w:pPr>
      <w:r>
        <w:rPr>
          <w:sz w:val="24"/>
          <w:szCs w:val="24"/>
        </w:rPr>
        <w:t>21.</w:t>
      </w:r>
      <w:r>
        <w:rPr>
          <w:sz w:val="24"/>
          <w:szCs w:val="24"/>
        </w:rPr>
        <w:tab/>
        <w:t>La calidad de gran cantidad de cultivos también disminuirá tras el calentamiento, ya que el ciclo fenológico se acorta (como es el caso de la vid).</w:t>
      </w:r>
    </w:p>
    <w:p w14:paraId="0000006D" w14:textId="77777777" w:rsidR="00123F4F" w:rsidRDefault="007D746E" w:rsidP="007D746E">
      <w:pPr>
        <w:spacing w:after="0" w:line="240" w:lineRule="auto"/>
        <w:jc w:val="both"/>
        <w:rPr>
          <w:rFonts w:ascii="Times New Roman" w:eastAsia="Times New Roman" w:hAnsi="Times New Roman" w:cs="Times New Roman"/>
          <w:sz w:val="24"/>
          <w:szCs w:val="24"/>
        </w:rPr>
      </w:pPr>
      <w:r>
        <w:rPr>
          <w:sz w:val="24"/>
          <w:szCs w:val="24"/>
        </w:rPr>
        <w:t>22.</w:t>
      </w:r>
      <w:r>
        <w:rPr>
          <w:sz w:val="24"/>
          <w:szCs w:val="24"/>
        </w:rPr>
        <w:tab/>
        <w:t>Es probable que aumenten los desequilibrios regionales en materia de seguridad alimentaria, asociados a una mayor dependencia de las importaciones de alimentos</w:t>
      </w:r>
      <w:r>
        <w:rPr>
          <w:rFonts w:ascii="Times New Roman" w:eastAsia="Times New Roman" w:hAnsi="Times New Roman" w:cs="Times New Roman"/>
          <w:sz w:val="24"/>
          <w:szCs w:val="24"/>
        </w:rPr>
        <w:t>.</w:t>
      </w:r>
    </w:p>
    <w:p w14:paraId="00000073" w14:textId="77777777" w:rsidR="00123F4F" w:rsidRPr="00A94C46" w:rsidRDefault="00123F4F" w:rsidP="007D746E">
      <w:pPr>
        <w:spacing w:after="0" w:line="240" w:lineRule="auto"/>
        <w:jc w:val="both"/>
        <w:rPr>
          <w:color w:val="000000"/>
          <w:sz w:val="24"/>
          <w:szCs w:val="24"/>
          <w:highlight w:val="yellow"/>
        </w:rPr>
      </w:pPr>
    </w:p>
    <w:p w14:paraId="00000074" w14:textId="0D339702" w:rsidR="00123F4F" w:rsidRDefault="007D746E" w:rsidP="007D746E">
      <w:pPr>
        <w:spacing w:after="0" w:line="240" w:lineRule="auto"/>
        <w:jc w:val="both"/>
        <w:rPr>
          <w:b/>
          <w:sz w:val="24"/>
          <w:szCs w:val="24"/>
        </w:rPr>
      </w:pPr>
      <w:r>
        <w:rPr>
          <w:b/>
          <w:sz w:val="24"/>
          <w:szCs w:val="24"/>
        </w:rPr>
        <w:t>La salud humana</w:t>
      </w:r>
      <w:r w:rsidR="007F1757">
        <w:rPr>
          <w:b/>
          <w:sz w:val="24"/>
          <w:szCs w:val="24"/>
        </w:rPr>
        <w:t>:</w:t>
      </w:r>
    </w:p>
    <w:p w14:paraId="00000075" w14:textId="77777777" w:rsidR="00123F4F" w:rsidRDefault="007D746E" w:rsidP="007D746E">
      <w:pPr>
        <w:spacing w:after="0" w:line="240" w:lineRule="auto"/>
        <w:jc w:val="both"/>
        <w:rPr>
          <w:sz w:val="24"/>
          <w:szCs w:val="24"/>
        </w:rPr>
      </w:pPr>
      <w:r>
        <w:rPr>
          <w:sz w:val="24"/>
          <w:szCs w:val="24"/>
        </w:rPr>
        <w:t>23.</w:t>
      </w:r>
      <w:r>
        <w:rPr>
          <w:sz w:val="24"/>
          <w:szCs w:val="24"/>
        </w:rPr>
        <w:tab/>
        <w:t>La salud humana también está en peligro: se espera que las enfermedades y muertes relacionadas con el calor sean más frecuentes, especialmente en las ciudades debido al efecto de la isla de calor, y para los grupos de población vulnerables, como los ancianos, los jóvenes y los más pobres.</w:t>
      </w:r>
    </w:p>
    <w:p w14:paraId="00000076" w14:textId="77777777" w:rsidR="00123F4F" w:rsidRDefault="007D746E" w:rsidP="007D746E">
      <w:pPr>
        <w:spacing w:after="0" w:line="240" w:lineRule="auto"/>
        <w:jc w:val="both"/>
        <w:rPr>
          <w:sz w:val="24"/>
          <w:szCs w:val="24"/>
        </w:rPr>
      </w:pPr>
      <w:r>
        <w:rPr>
          <w:sz w:val="24"/>
          <w:szCs w:val="24"/>
        </w:rPr>
        <w:t>24.</w:t>
      </w:r>
      <w:r>
        <w:rPr>
          <w:sz w:val="24"/>
          <w:szCs w:val="24"/>
        </w:rPr>
        <w:tab/>
        <w:t>El cambio climático favorece la aparición de enfermedades transmitidas por vectores y por el agua.</w:t>
      </w:r>
    </w:p>
    <w:p w14:paraId="00000077" w14:textId="77777777" w:rsidR="00123F4F" w:rsidRDefault="007D746E" w:rsidP="007D746E">
      <w:pPr>
        <w:spacing w:after="0" w:line="240" w:lineRule="auto"/>
        <w:jc w:val="both"/>
        <w:rPr>
          <w:sz w:val="24"/>
          <w:szCs w:val="24"/>
        </w:rPr>
      </w:pPr>
      <w:r>
        <w:rPr>
          <w:sz w:val="24"/>
          <w:szCs w:val="24"/>
        </w:rPr>
        <w:lastRenderedPageBreak/>
        <w:t>25.</w:t>
      </w:r>
      <w:r>
        <w:rPr>
          <w:sz w:val="24"/>
          <w:szCs w:val="24"/>
        </w:rPr>
        <w:tab/>
        <w:t>El deterioro de la calidad del aire, el suelo y el agua afecta a la salud humana debido a las enfermedades respiratorias y cardiovasculares, así como a la reducción del acceso a alimentos saludables.</w:t>
      </w:r>
    </w:p>
    <w:p w14:paraId="00000081" w14:textId="77777777" w:rsidR="00123F4F" w:rsidRPr="00A94C46" w:rsidRDefault="00123F4F" w:rsidP="007D746E">
      <w:pPr>
        <w:jc w:val="both"/>
      </w:pPr>
    </w:p>
    <w:p w14:paraId="00000082" w14:textId="4FC6ECC6" w:rsidR="00123F4F" w:rsidRDefault="00E94BFC" w:rsidP="007D746E">
      <w:pPr>
        <w:jc w:val="both"/>
        <w:rPr>
          <w:b/>
          <w:sz w:val="24"/>
          <w:szCs w:val="24"/>
        </w:rPr>
      </w:pPr>
      <w:r>
        <w:rPr>
          <w:b/>
          <w:sz w:val="24"/>
          <w:szCs w:val="24"/>
        </w:rPr>
        <w:t>Salud y</w:t>
      </w:r>
      <w:r w:rsidR="007D746E">
        <w:rPr>
          <w:b/>
          <w:sz w:val="24"/>
          <w:szCs w:val="24"/>
        </w:rPr>
        <w:t xml:space="preserve"> seguridad:</w:t>
      </w:r>
    </w:p>
    <w:p w14:paraId="00000083" w14:textId="77777777" w:rsidR="00123F4F" w:rsidRDefault="007D746E" w:rsidP="007D746E">
      <w:pPr>
        <w:jc w:val="both"/>
        <w:rPr>
          <w:sz w:val="24"/>
          <w:szCs w:val="24"/>
        </w:rPr>
      </w:pPr>
      <w:r>
        <w:rPr>
          <w:sz w:val="24"/>
          <w:szCs w:val="24"/>
        </w:rPr>
        <w:t>26.</w:t>
      </w:r>
      <w:r>
        <w:rPr>
          <w:sz w:val="24"/>
          <w:szCs w:val="24"/>
        </w:rPr>
        <w:tab/>
        <w:t>Los riesgos costeros derivados de las inundaciones y los daños causados por las tormentas causan importantes riesgos para la infraestructura y los medios de subsistencia de las personas.</w:t>
      </w:r>
    </w:p>
    <w:p w14:paraId="00000084" w14:textId="77777777" w:rsidR="00123F4F" w:rsidRDefault="007D746E" w:rsidP="007D746E">
      <w:pPr>
        <w:jc w:val="both"/>
        <w:rPr>
          <w:sz w:val="24"/>
          <w:szCs w:val="24"/>
        </w:rPr>
      </w:pPr>
      <w:r>
        <w:rPr>
          <w:sz w:val="24"/>
          <w:szCs w:val="24"/>
        </w:rPr>
        <w:t>27.</w:t>
      </w:r>
      <w:r>
        <w:rPr>
          <w:sz w:val="24"/>
          <w:szCs w:val="24"/>
        </w:rPr>
        <w:tab/>
        <w:t>A medida que las olas de calor se hacen más fuertes y frecuentes, los sistemas de apoyo social para los ancianos y las poblaciones desfavorecidas se vuelven más frágiles y aumentan los desequilibrios sociales.</w:t>
      </w:r>
    </w:p>
    <w:p w14:paraId="00000085" w14:textId="77777777" w:rsidR="00123F4F" w:rsidRDefault="007D746E" w:rsidP="007D746E">
      <w:pPr>
        <w:jc w:val="both"/>
        <w:rPr>
          <w:sz w:val="24"/>
          <w:szCs w:val="24"/>
        </w:rPr>
      </w:pPr>
      <w:r>
        <w:rPr>
          <w:sz w:val="24"/>
          <w:szCs w:val="24"/>
        </w:rPr>
        <w:t>28.</w:t>
      </w:r>
      <w:r>
        <w:rPr>
          <w:sz w:val="24"/>
          <w:szCs w:val="24"/>
        </w:rPr>
        <w:tab/>
        <w:t>Debido a sus efectos en la agricultura y la seguridad alimentaria, las sequías intensas han desempeñado un papel importante en la actual crisis regional.</w:t>
      </w:r>
    </w:p>
    <w:p w14:paraId="00000086" w14:textId="77777777" w:rsidR="00123F4F" w:rsidRDefault="007D746E" w:rsidP="007D746E">
      <w:pPr>
        <w:jc w:val="both"/>
        <w:rPr>
          <w:sz w:val="24"/>
          <w:szCs w:val="24"/>
        </w:rPr>
      </w:pPr>
      <w:r>
        <w:rPr>
          <w:sz w:val="24"/>
          <w:szCs w:val="24"/>
        </w:rPr>
        <w:t>29.</w:t>
      </w:r>
      <w:r>
        <w:rPr>
          <w:sz w:val="24"/>
          <w:szCs w:val="24"/>
        </w:rPr>
        <w:tab/>
        <w:t>Los países del sur y el este del Mediterráneo son generalmente más vulnerables debido a su limitada capacidad socio-económica para adaptarse a los cambios ambientales.</w:t>
      </w:r>
    </w:p>
    <w:p w14:paraId="00000087" w14:textId="2F89005A" w:rsidR="00123F4F" w:rsidRDefault="007D746E" w:rsidP="007D746E">
      <w:pPr>
        <w:jc w:val="both"/>
        <w:rPr>
          <w:sz w:val="24"/>
          <w:szCs w:val="24"/>
        </w:rPr>
      </w:pPr>
      <w:r>
        <w:rPr>
          <w:sz w:val="24"/>
          <w:szCs w:val="24"/>
        </w:rPr>
        <w:t>30.</w:t>
      </w:r>
      <w:r>
        <w:rPr>
          <w:sz w:val="24"/>
          <w:szCs w:val="24"/>
        </w:rPr>
        <w:tab/>
        <w:t xml:space="preserve">Los conflictos relacionados con </w:t>
      </w:r>
      <w:r w:rsidR="00F15081">
        <w:rPr>
          <w:sz w:val="24"/>
          <w:szCs w:val="24"/>
        </w:rPr>
        <w:t>la escasez de recursos</w:t>
      </w:r>
      <w:r>
        <w:rPr>
          <w:sz w:val="24"/>
          <w:szCs w:val="24"/>
        </w:rPr>
        <w:t xml:space="preserve"> (tierra, agua, alimentos, etc.) pueden aumentar las migraciones humanas a gran escala.</w:t>
      </w:r>
    </w:p>
    <w:sectPr w:rsidR="00123F4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F80"/>
    <w:multiLevelType w:val="multilevel"/>
    <w:tmpl w:val="E724154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254416"/>
    <w:multiLevelType w:val="multilevel"/>
    <w:tmpl w:val="8F6EE6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8F16D5"/>
    <w:multiLevelType w:val="multilevel"/>
    <w:tmpl w:val="555C2F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BD0529"/>
    <w:multiLevelType w:val="multilevel"/>
    <w:tmpl w:val="5A3AC5E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BE2DAF"/>
    <w:multiLevelType w:val="multilevel"/>
    <w:tmpl w:val="9F76053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9C04FB"/>
    <w:multiLevelType w:val="multilevel"/>
    <w:tmpl w:val="9E629D1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4C311B"/>
    <w:multiLevelType w:val="multilevel"/>
    <w:tmpl w:val="48789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BF7A4E"/>
    <w:multiLevelType w:val="multilevel"/>
    <w:tmpl w:val="965AA25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4C5AE8"/>
    <w:multiLevelType w:val="multilevel"/>
    <w:tmpl w:val="9E6078E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4E3055"/>
    <w:multiLevelType w:val="multilevel"/>
    <w:tmpl w:val="BA8C35B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3B60D7"/>
    <w:multiLevelType w:val="multilevel"/>
    <w:tmpl w:val="A6FA6D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646950"/>
    <w:multiLevelType w:val="multilevel"/>
    <w:tmpl w:val="F14EE1C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A93C39"/>
    <w:multiLevelType w:val="multilevel"/>
    <w:tmpl w:val="47366B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E73DE2"/>
    <w:multiLevelType w:val="multilevel"/>
    <w:tmpl w:val="8FE01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A738C5"/>
    <w:multiLevelType w:val="multilevel"/>
    <w:tmpl w:val="1632CF8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460B33"/>
    <w:multiLevelType w:val="multilevel"/>
    <w:tmpl w:val="8BEC3E8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8A42E2"/>
    <w:multiLevelType w:val="multilevel"/>
    <w:tmpl w:val="56F69F4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435040D"/>
    <w:multiLevelType w:val="multilevel"/>
    <w:tmpl w:val="35E4BA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B23058"/>
    <w:multiLevelType w:val="multilevel"/>
    <w:tmpl w:val="CAEC411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C90EF4"/>
    <w:multiLevelType w:val="multilevel"/>
    <w:tmpl w:val="A9D82D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07227CB"/>
    <w:multiLevelType w:val="multilevel"/>
    <w:tmpl w:val="7CD0BE0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907FF7"/>
    <w:multiLevelType w:val="multilevel"/>
    <w:tmpl w:val="080292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F65A50"/>
    <w:multiLevelType w:val="multilevel"/>
    <w:tmpl w:val="06A06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AD6289A"/>
    <w:multiLevelType w:val="multilevel"/>
    <w:tmpl w:val="8DCAED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3A11595"/>
    <w:multiLevelType w:val="multilevel"/>
    <w:tmpl w:val="3EA6C0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283848"/>
    <w:multiLevelType w:val="multilevel"/>
    <w:tmpl w:val="C0307F0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7C507F1"/>
    <w:multiLevelType w:val="multilevel"/>
    <w:tmpl w:val="9138BBF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CAE764D"/>
    <w:multiLevelType w:val="multilevel"/>
    <w:tmpl w:val="4F70F53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20"/>
  </w:num>
  <w:num w:numId="3">
    <w:abstractNumId w:val="11"/>
  </w:num>
  <w:num w:numId="4">
    <w:abstractNumId w:val="12"/>
  </w:num>
  <w:num w:numId="5">
    <w:abstractNumId w:val="17"/>
  </w:num>
  <w:num w:numId="6">
    <w:abstractNumId w:val="1"/>
  </w:num>
  <w:num w:numId="7">
    <w:abstractNumId w:val="25"/>
  </w:num>
  <w:num w:numId="8">
    <w:abstractNumId w:val="14"/>
  </w:num>
  <w:num w:numId="9">
    <w:abstractNumId w:val="4"/>
  </w:num>
  <w:num w:numId="10">
    <w:abstractNumId w:val="27"/>
  </w:num>
  <w:num w:numId="11">
    <w:abstractNumId w:val="26"/>
  </w:num>
  <w:num w:numId="12">
    <w:abstractNumId w:val="22"/>
  </w:num>
  <w:num w:numId="13">
    <w:abstractNumId w:val="13"/>
  </w:num>
  <w:num w:numId="14">
    <w:abstractNumId w:val="3"/>
  </w:num>
  <w:num w:numId="15">
    <w:abstractNumId w:val="0"/>
  </w:num>
  <w:num w:numId="16">
    <w:abstractNumId w:val="8"/>
  </w:num>
  <w:num w:numId="17">
    <w:abstractNumId w:val="6"/>
  </w:num>
  <w:num w:numId="18">
    <w:abstractNumId w:val="24"/>
  </w:num>
  <w:num w:numId="19">
    <w:abstractNumId w:val="21"/>
  </w:num>
  <w:num w:numId="20">
    <w:abstractNumId w:val="2"/>
  </w:num>
  <w:num w:numId="21">
    <w:abstractNumId w:val="18"/>
  </w:num>
  <w:num w:numId="22">
    <w:abstractNumId w:val="5"/>
  </w:num>
  <w:num w:numId="23">
    <w:abstractNumId w:val="23"/>
  </w:num>
  <w:num w:numId="24">
    <w:abstractNumId w:val="9"/>
  </w:num>
  <w:num w:numId="25">
    <w:abstractNumId w:val="15"/>
  </w:num>
  <w:num w:numId="26">
    <w:abstractNumId w:val="7"/>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4F"/>
    <w:rsid w:val="00001FCF"/>
    <w:rsid w:val="00123F4F"/>
    <w:rsid w:val="00393D96"/>
    <w:rsid w:val="004662E9"/>
    <w:rsid w:val="007677BE"/>
    <w:rsid w:val="007D746E"/>
    <w:rsid w:val="007F1757"/>
    <w:rsid w:val="008244D4"/>
    <w:rsid w:val="00933E11"/>
    <w:rsid w:val="00953B7D"/>
    <w:rsid w:val="00A94C46"/>
    <w:rsid w:val="00AC01D2"/>
    <w:rsid w:val="00D401FA"/>
    <w:rsid w:val="00E35F80"/>
    <w:rsid w:val="00E84EAB"/>
    <w:rsid w:val="00E94BFC"/>
    <w:rsid w:val="00EE7D66"/>
    <w:rsid w:val="00F15081"/>
    <w:rsid w:val="00FC0BB3"/>
    <w:rsid w:val="71A1455D"/>
    <w:rsid w:val="756616E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5E92"/>
  <w15:docId w15:val="{4555967F-88BD-4B1E-84FE-F2A63F0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86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E74"/>
    <w:rPr>
      <w:color w:val="0000FF"/>
      <w:u w:val="single"/>
    </w:rPr>
  </w:style>
  <w:style w:type="paragraph" w:styleId="ListParagraph">
    <w:name w:val="List Paragraph"/>
    <w:basedOn w:val="Normal"/>
    <w:uiPriority w:val="34"/>
    <w:qFormat/>
    <w:rsid w:val="00C8775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ec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Ada8cWHIxsNosGGvevrOWGNA==">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1398</Words>
  <Characters>8221</Characters>
  <Application>Microsoft Office Word</Application>
  <DocSecurity>0</DocSecurity>
  <Lines>132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Doncel</dc:creator>
  <cp:lastModifiedBy>Ainhoa Goma</cp:lastModifiedBy>
  <cp:revision>4</cp:revision>
  <cp:lastPrinted>2019-10-07T15:17:00Z</cp:lastPrinted>
  <dcterms:created xsi:type="dcterms:W3CDTF">2019-10-08T08:54:00Z</dcterms:created>
  <dcterms:modified xsi:type="dcterms:W3CDTF">2019-10-08T09:12:00Z</dcterms:modified>
</cp:coreProperties>
</file>